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несовершеннолетние могут нести уголовную ответственностьс 14 лет за ряд тяжких преступлений — например, за убийство, кражу, грабёж, разбой, вымогательство; поостальным составам ответственность наступает с 16 лет, а наказание учитывает возраст и условия жизниподростка.</w:t>
      </w:r>
    </w:p>
    <w:p w14:paraId="02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А.В. Леонтев</w:t>
      </w:r>
    </w:p>
    <w:p w14:paraId="03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административная ответственность для подростков наступаетс 16 лет — к примеру, за мелкое хулиганство, распитие алкоголя в общественных местах или появление всостоянии опьянения; к нарушителям применяются меры воспитательного характера, а при необходимостиматериалы передаются в комиссию по делам несовершеннолетних.</w:t>
      </w:r>
    </w:p>
    <w:p w14:paraId="04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А.В. Леонтев</w:t>
      </w:r>
    </w:p>
    <w:p w14:paraId="05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если несовершеннолетний совершил правонарушение, законпредусматривает не столько наказание, сколько меры воспитательного воздействия — предупреждение, передачупод надзор родителей, ограничение досуга, обязанность загладить причинённый вред; главная цель — исправитьповедение и предотвратить рецидив.</w:t>
      </w:r>
    </w:p>
    <w:p w14:paraId="06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А.В. Леонтев</w:t>
      </w:r>
    </w:p>
    <w:p w14:paraId="07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родители несут ответственность за воспитание и содержаниедетей — по ст. 5.35 КоАП РФ их могут привлечь к административной ответственности за ненадлежащееисполнение обязанностей, в том числе за оставление ребёнка без присмотра, систематическое невыполнениеродительских функций или вовлечение в антиобщественные действия.</w:t>
      </w:r>
    </w:p>
    <w:p w14:paraId="08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А.В. Леонтев</w:t>
      </w:r>
    </w:p>
    <w:p w14:paraId="09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жестокое обращение с ребёнком — это не только побои, но ипсихическое насилие, лишение питания, одежды, медицинской помощи; такие действия влекутадминистративную или уголовную ответственность (ст. 156 УК РФ), а прокуратура контролирует, чтобы праваребёнка были восстановлены.</w:t>
      </w:r>
    </w:p>
    <w:p w14:paraId="0A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А.В. Леонтев</w:t>
      </w:r>
    </w:p>
    <w:p w14:paraId="0B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каждый ребёнок имеет право на защиту от насилия ипренебрежения — если подросток или окружающие знают о жестоком обращении, нужно сообщить в органыопеки, полицию или прокуратуру; анонимные обращения тоже принимаются и проверяются.</w:t>
      </w:r>
    </w:p>
    <w:p w14:paraId="0C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0D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дети-сироты и дети, оставшиеся без попечения родителей, имеютправо на жильё, образование, медицинскую помощь и социальные выплаты; прокуратура следит за соблюдениемэтих прав и добивается предоставления положенных льгот и помещений через суд при необходимости.</w:t>
      </w:r>
    </w:p>
    <w:p w14:paraId="0E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0F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трудоустройство несовершеннолетних разрешено с 14 лет ссогласия родителей и органа опеки, а с 16 лет подросток может заключать трудовой договор самостоятельно;закон ограничивает продолжительность рабочего времени, запрещает вредные и опасные работы и гарантируетоплату труда.</w:t>
      </w:r>
    </w:p>
    <w:p w14:paraId="10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11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подростки имеют право на образование до 18 лет, включаябесплатное обучение в школе и доступ к дополнительным образовательным программам; если ребёнка незаконноотчислили или ограничили в правах, родители могут обратиться в прокуратуру для восстановления нарушенныхправ.</w:t>
      </w:r>
    </w:p>
    <w:p w14:paraId="12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13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вовлечение несовершеннолетних в преступную деятельность(ст. 150 УК РФ) или в антиобщественные действия (ст. 151 УК РФ) — тяжкое преступление; взрослые,склоняющие детей к кражам, попрошайничеству или употреблению алкоголя, несут уголовную ответственностьвплоть до 8 лет лишения свободы.</w:t>
      </w:r>
    </w:p>
    <w:p w14:paraId="14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15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продажа алкоголя и табачной продукции несовершеннолетнимзапрещена — за это предусмотрена административная ответственность по КоАП РФ, а при повторномнарушении — уголовная; прокуратура проводит проверки торговых точек и добивается наказаниянедобросовестных продавцов.</w:t>
      </w:r>
    </w:p>
    <w:p w14:paraId="16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17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распространение среди детей информации, причиняющей вред ихздоровью и развитию (пропаганда насилия, наркотиков, суицида), запрещено законом (ФЗ № 436</w:t>
      </w:r>
      <w:r>
        <w:rPr>
          <w:rFonts w:ascii="Times New Roman" w:hAnsi="Times New Roman"/>
          <w:color w:val="000000"/>
        </w:rPr>
        <w:t>ФЗ);прокуратура инициирует блокировку таких сайтов и привлечение виновных к ответственности.</w:t>
      </w:r>
    </w:p>
    <w:p w14:paraId="18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19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в интернете подростки могут столкнуться с кибербуллингом,вербовкой в деструктивные сообщества или мошенничеством; родителям важно обсуждать с детьми правилацифровой безопасности и при угрозах обращаться в правоохранительные органы.</w:t>
      </w:r>
    </w:p>
    <w:p w14:paraId="1A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 В.П. Убушаев</w:t>
      </w:r>
    </w:p>
    <w:p w14:paraId="1B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комиссия по делам несовершеннолетних (КДН) помогаетподросткам, попавшим в трудную жизненную ситуацию, и координирует работу органов профилактики;прокуратура надзирает за законностью решений КДН и защищает права детей при рассмотрении их дел.</w:t>
      </w:r>
    </w:p>
    <w:p w14:paraId="1C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 В.П. Убушаев</w:t>
      </w:r>
    </w:p>
    <w:p w14:paraId="1D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помещение подростка в специальное учебно</w:t>
      </w:r>
      <w:r>
        <w:rPr>
          <w:rFonts w:ascii="Times New Roman" w:hAnsi="Times New Roman"/>
          <w:color w:val="000000"/>
        </w:rPr>
        <w:t>воспитательноеучреждение закрытого типа возможно только по решению суда и в исключительных случаях — когда иные мерыне дают результата; прокуратура проверяет обоснованность таких решений и соблюдение прав ребёнка вучреждении.</w:t>
      </w:r>
    </w:p>
    <w:p w14:paraId="1E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 В.П. Убушаев</w:t>
      </w:r>
    </w:p>
    <w:p w14:paraId="1F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ребёнок имеет право выражать своё мнение при решениисемейных вопросов — в суде, органах опеки, школе; с 10 лет его позиция обязательно учитывается, а с 14 летподросток вправе самостоятельно обращаться в органы защиты прав, в том числе в прокуратуру.</w:t>
      </w:r>
    </w:p>
    <w:p w14:paraId="20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 В.П. Убушаев</w:t>
      </w:r>
    </w:p>
    <w:p w14:paraId="21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алименты на содержание детей обязан выплачивать родитель,проживающий отдельно, — их размер устанавливается соглашением или решением суда; прокуратура можетвмешаться, если приставы бездействуют или нарушаются права ребёнка на получение средств.</w:t>
      </w:r>
    </w:p>
    <w:p w14:paraId="22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 В.П. Убушаев</w:t>
      </w:r>
    </w:p>
    <w:p w14:paraId="23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насилие в семье недопустимо — если ребёнок подвергаетсяпобоям или психологическому давлению, органы опеки и полиция обязаны вмешаться; прокуратура контролируетход проверок и добивается привлечения виновных к ответственности.</w:t>
      </w:r>
    </w:p>
    <w:p w14:paraId="24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 В.П. Убушаев</w:t>
      </w:r>
    </w:p>
    <w:p w14:paraId="25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беспризорность и безнадзорность детей — сигнал для органовсистемы профилактики; если подросток длительное время находится без контроля взрослых, брошен или живётна улице, необходимо сообщить в полицию или прокуратуру для оперативного реагирования.</w:t>
      </w:r>
    </w:p>
    <w:p w14:paraId="26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Заместитель прокурора района                                                           А.Н. Маслов</w:t>
      </w:r>
    </w:p>
    <w:p w14:paraId="27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употребление несовершеннолетними наркотиков или алкоголявлечёт постановку на учёт в органах профилактики и меры воспитательного характера; прокуратура проверяетзаконность таких решений и обеспечивает правовую помощь подросткам и их семьям.</w:t>
      </w:r>
    </w:p>
    <w:p w14:paraId="28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Заместитель прокурора района                                                           А.Н. Маслов</w:t>
      </w:r>
    </w:p>
    <w:p w14:paraId="29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участие подростков в несанкционированных акциях может бытьопасным и влечёт административную ответственность; родителям важно объяснять детям правовые последствияи риски для здоровья, а прокуратура следит за тем, чтобы детей не вовлекали в противоправные мероприятия.</w:t>
      </w:r>
    </w:p>
    <w:p w14:paraId="2A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Заместитель прокурора района                                                           А.Н. Маслов</w:t>
      </w:r>
    </w:p>
    <w:p w14:paraId="2B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права ребёнка в уголовном процессе защищены особыминормами — при допросе обязательно присутствие педагога или психолога, а также законного представителя;прокуратура контролирует соблюдение этих требований и пресекает нарушения при расследовании дел сучастием несовершеннолетних.</w:t>
      </w:r>
    </w:p>
    <w:p w14:paraId="2C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2D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дети с ограниченными возможностями здоровья имеют право наинклюзивное образование, доступную среду и реабилитационные услуги; прокуратура проверяет, обеспечены лишколы и учреждения необходимыми условиями, и добивается устранения барьеров.</w:t>
      </w:r>
    </w:p>
    <w:p w14:paraId="2E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2F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летний отдых и оздоровление детей должны бытьбезопасными — лагеря и иные организации обязаны соблюдать санитарные, противопожарные и иные нормы;прокуратура проводит надзорные мероприятия и пресекает работу учреждений, не отвечающих требованиямбезопасности.</w:t>
      </w:r>
    </w:p>
    <w:p w14:paraId="30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31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право ребёнка на общение с обоими родителями сохраняется дажепосле развода — ограничить его можно только через суд и при наличии угрозы для жизни и здоровья ребёнка;прокуратура защищает интересы детей в спорах о порядке общения и месте жительства.</w:t>
      </w:r>
    </w:p>
    <w:p w14:paraId="32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33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защита персональных данныхнесовершеннолетних — обязательное требование закона; публикация фото и личной информации детей винтернете без согласия родителей недопустима, а нарушители могут быть привлечены к административнойответственности.</w:t>
      </w:r>
    </w:p>
    <w:p w14:paraId="34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35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профилактика подростковой преступности включает работу школ,полиции, органов соцзащиты и семьи — совместные рейды, беседы, кружки и спортивные секции снижают рискиправонарушений; прокуратура оценивает эффективность таких мер и вносит предложения по их улучшению.</w:t>
      </w:r>
    </w:p>
    <w:p w14:paraId="36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37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если подросток стал свидетелем преступления или жертвойнасилия, он вправе обратиться за помощью — в полицию, к школьному психологу, в органы опеки или впрокуратуру; закон гарантирует конфиденциальность и психологическую поддержку.</w:t>
      </w:r>
    </w:p>
    <w:p w14:paraId="38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39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восстановление прав несовершеннолетних возможно черезсуд — например, при незаконном выселении из жилья, отказе в медицинской помощи или образовании;прокуратура может подать иск в защиту ребёнка, если он не способен самостоятельно отстоять свои интересы.</w:t>
      </w:r>
    </w:p>
    <w:p w14:paraId="3A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3B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формирование правовой культуры у подростков — важная задачасемьи и школы; знание своих прав и обязанностей помогает детям избегать опасных ситуаций, противостоятьдавлению сверстников и принимать ответственные решения.</w:t>
      </w:r>
    </w:p>
    <w:p w14:paraId="3C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3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msonormal"/>
    <w:basedOn w:val="Style_1"/>
    <w:link w:val="Style_7_ch"/>
    <w:pPr>
      <w:spacing w:afterAutospacing="on" w:beforeAutospacing="on" w:line="240" w:lineRule="auto"/>
      <w:ind/>
    </w:pPr>
    <w:rPr>
      <w:rFonts w:ascii="Times New Roman" w:hAnsi="Times New Roman"/>
    </w:rPr>
  </w:style>
  <w:style w:styleId="Style_7_ch" w:type="character">
    <w:name w:val="msonormal"/>
    <w:basedOn w:val="Style_1_ch"/>
    <w:link w:val="Style_7"/>
    <w:rPr>
      <w:rFonts w:ascii="Times New Roman" w:hAnsi="Times New Roman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Intense Quote"/>
    <w:basedOn w:val="Style_1"/>
    <w:next w:val="Style_1"/>
    <w:link w:val="Style_1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1_ch" w:type="character">
    <w:name w:val="Intense Quote"/>
    <w:basedOn w:val="Style_1_ch"/>
    <w:link w:val="Style_11"/>
    <w:rPr>
      <w:i w:val="1"/>
      <w:color w:themeColor="accent1" w:themeShade="BF" w:val="2F5496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rmal (Web)"/>
    <w:basedOn w:val="Style_1"/>
    <w:link w:val="Style_13_ch"/>
    <w:pPr>
      <w:spacing w:afterAutospacing="on" w:beforeAutospacing="on" w:line="240" w:lineRule="auto"/>
      <w:ind/>
    </w:pPr>
    <w:rPr>
      <w:rFonts w:ascii="Times New Roman" w:hAnsi="Times New Roman"/>
    </w:rPr>
  </w:style>
  <w:style w:styleId="Style_13_ch" w:type="character">
    <w:name w:val="Normal (Web)"/>
    <w:basedOn w:val="Style_1_ch"/>
    <w:link w:val="Style_13"/>
    <w:rPr>
      <w:rFonts w:ascii="Times New Roman" w:hAnsi="Times New Roman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apple-converted-space"/>
    <w:basedOn w:val="Style_20"/>
    <w:link w:val="Style_19_ch"/>
  </w:style>
  <w:style w:styleId="Style_19_ch" w:type="character">
    <w:name w:val="apple-converted-space"/>
    <w:basedOn w:val="Style_20_ch"/>
    <w:link w:val="Style_19"/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Quote"/>
    <w:basedOn w:val="Style_1"/>
    <w:next w:val="Style_1"/>
    <w:link w:val="Style_23_ch"/>
    <w:pPr>
      <w:spacing w:before="160"/>
      <w:ind/>
      <w:jc w:val="center"/>
    </w:pPr>
    <w:rPr>
      <w:i w:val="1"/>
      <w:color w:themeColor="text1" w:themeTint="BF" w:val="404040"/>
    </w:rPr>
  </w:style>
  <w:style w:styleId="Style_23_ch" w:type="character">
    <w:name w:val="Quote"/>
    <w:basedOn w:val="Style_1_ch"/>
    <w:link w:val="Style_23"/>
    <w:rPr>
      <w:i w:val="1"/>
      <w:color w:themeColor="text1" w:themeTint="BF" w:val="404040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Intense Emphasis"/>
    <w:basedOn w:val="Style_20"/>
    <w:link w:val="Style_25_ch"/>
    <w:rPr>
      <w:i w:val="1"/>
      <w:color w:themeColor="accent1" w:themeShade="BF" w:val="2F5496"/>
    </w:rPr>
  </w:style>
  <w:style w:styleId="Style_25_ch" w:type="character">
    <w:name w:val="Intense Emphasis"/>
    <w:basedOn w:val="Style_20_ch"/>
    <w:link w:val="Style_25"/>
    <w:rPr>
      <w:i w:val="1"/>
      <w:color w:themeColor="accent1" w:themeShade="BF" w:val="2F5496"/>
    </w:rPr>
  </w:style>
  <w:style w:styleId="Style_26" w:type="paragraph">
    <w:name w:val="toc 8"/>
    <w:next w:val="Style_1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Intense Reference"/>
    <w:basedOn w:val="Style_20"/>
    <w:link w:val="Style_27_ch"/>
    <w:rPr>
      <w:b w:val="1"/>
      <w:smallCaps w:val="1"/>
      <w:color w:themeColor="accent1" w:themeShade="BF" w:val="2F5496"/>
      <w:spacing w:val="5"/>
    </w:rPr>
  </w:style>
  <w:style w:styleId="Style_27_ch" w:type="character">
    <w:name w:val="Intense Reference"/>
    <w:basedOn w:val="Style_20_ch"/>
    <w:link w:val="Style_27"/>
    <w:rPr>
      <w:b w:val="1"/>
      <w:smallCaps w:val="1"/>
      <w:color w:themeColor="accent1" w:themeShade="BF" w:val="2F5496"/>
      <w:spacing w:val="5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8" w:type="paragraph">
    <w:name w:val="toc 5"/>
    <w:next w:val="Style_1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basedOn w:val="Style_1"/>
    <w:next w:val="Style_1"/>
    <w:link w:val="Style_29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9_ch" w:type="character">
    <w:name w:val="Subtitle"/>
    <w:basedOn w:val="Style_1_ch"/>
    <w:link w:val="Style_29"/>
    <w:rPr>
      <w:color w:themeColor="text1" w:themeTint="A6" w:val="595959"/>
      <w:spacing w:val="15"/>
      <w:sz w:val="28"/>
    </w:rPr>
  </w:style>
  <w:style w:styleId="Style_30" w:type="paragraph">
    <w:name w:val="markdown-word"/>
    <w:basedOn w:val="Style_20"/>
    <w:link w:val="Style_30_ch"/>
  </w:style>
  <w:style w:styleId="Style_30_ch" w:type="character">
    <w:name w:val="markdown-word"/>
    <w:basedOn w:val="Style_20_ch"/>
    <w:link w:val="Style_30"/>
  </w:style>
  <w:style w:styleId="Style_31" w:type="paragraph">
    <w:name w:val="List Paragraph"/>
    <w:basedOn w:val="Style_1"/>
    <w:link w:val="Style_31_ch"/>
    <w:pPr>
      <w:ind w:firstLine="0" w:left="720"/>
      <w:contextualSpacing w:val="1"/>
    </w:pPr>
  </w:style>
  <w:style w:styleId="Style_31_ch" w:type="character">
    <w:name w:val="List Paragraph"/>
    <w:basedOn w:val="Style_1_ch"/>
    <w:link w:val="Style_31"/>
  </w:style>
  <w:style w:styleId="Style_32" w:type="paragraph">
    <w:name w:val="Title"/>
    <w:basedOn w:val="Style_1"/>
    <w:next w:val="Style_1"/>
    <w:link w:val="Style_32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2_ch" w:type="character">
    <w:name w:val="Title"/>
    <w:basedOn w:val="Style_1_ch"/>
    <w:link w:val="Style_32"/>
    <w:rPr>
      <w:rFonts w:asciiTheme="majorAscii" w:hAnsiTheme="majorHAnsi"/>
      <w:spacing w:val="-10"/>
      <w:sz w:val="56"/>
    </w:rPr>
  </w:style>
  <w:style w:styleId="Style_33" w:type="paragraph">
    <w:name w:val="heading 4"/>
    <w:basedOn w:val="Style_1"/>
    <w:next w:val="Style_1"/>
    <w:link w:val="Style_33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3_ch" w:type="character">
    <w:name w:val="heading 4"/>
    <w:basedOn w:val="Style_1_ch"/>
    <w:link w:val="Style_33"/>
    <w:rPr>
      <w:i w:val="1"/>
      <w:color w:themeColor="accent1" w:themeShade="BF" w:val="2F5496"/>
    </w:rPr>
  </w:style>
  <w:style w:styleId="Style_34" w:type="paragraph">
    <w:name w:val="heading 2"/>
    <w:basedOn w:val="Style_1"/>
    <w:next w:val="Style_1"/>
    <w:link w:val="Style_34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4_ch" w:type="character">
    <w:name w:val="heading 2"/>
    <w:basedOn w:val="Style_1_ch"/>
    <w:link w:val="Style_34"/>
    <w:rPr>
      <w:rFonts w:asciiTheme="majorAscii" w:hAnsiTheme="majorHAnsi"/>
      <w:color w:themeColor="accent1" w:themeShade="BF" w:val="2F5496"/>
      <w:sz w:val="32"/>
    </w:rPr>
  </w:style>
  <w:style w:styleId="Style_35" w:type="paragraph">
    <w:name w:val="heading 6"/>
    <w:basedOn w:val="Style_1"/>
    <w:next w:val="Style_1"/>
    <w:link w:val="Style_35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5_ch" w:type="character">
    <w:name w:val="heading 6"/>
    <w:basedOn w:val="Style_1_ch"/>
    <w:link w:val="Style_35"/>
    <w:rPr>
      <w:i w:val="1"/>
      <w:color w:themeColor="text1" w:themeTint="A6" w:val="595959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2026-06-20T13:56:39Z</dcterms:modified>
</cp:coreProperties>
</file>